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A7" w:rsidRDefault="002B65A7" w:rsidP="002B65A7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Установлена административная ответственность за повторно совершенное самовольное подключение и использование электрической, тепловой энергии.</w:t>
      </w:r>
    </w:p>
    <w:bookmarkEnd w:id="0"/>
    <w:p w:rsidR="002B65A7" w:rsidRDefault="002B65A7" w:rsidP="002B65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65A7" w:rsidRDefault="002B65A7" w:rsidP="002B65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09.06.2019 года вступили в законную силу изменения в статьи 3.5 и 7.19 Кодекса Российской Федерации об административных правонарушениях РФ.</w:t>
      </w:r>
    </w:p>
    <w:p w:rsidR="002B65A7" w:rsidRDefault="002B65A7" w:rsidP="002B65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Повторное совершение правонарушения, которое выражается в самовольном подключении к электрическим и тепловым сетям (за исключением самовольного подключения к нефтепроводам, нефтепродуктопроводам и газопроводам), самовольном (</w:t>
      </w:r>
      <w:proofErr w:type="spellStart"/>
      <w:r>
        <w:rPr>
          <w:sz w:val="28"/>
          <w:szCs w:val="28"/>
        </w:rPr>
        <w:t>безучетном</w:t>
      </w:r>
      <w:proofErr w:type="spellEnd"/>
      <w:r>
        <w:rPr>
          <w:sz w:val="28"/>
          <w:szCs w:val="28"/>
        </w:rPr>
        <w:t>) использовании электрической, тепловой энергии, нефти, газа или нефтепродуктов, если эти действия не содержат уголовно наказуемого деяния, повлечет наложение административного штрафа: на граждан - в размере от 15 000 до 30 000 рублей; на должностных лиц - от 80 000 до 200 000 рублей или дисквалификацию на срок от 2 лет до 3 лет; на юридических лиц - от 200 000 до 300 000 рублей.</w:t>
      </w:r>
    </w:p>
    <w:p w:rsidR="002B65A7" w:rsidRDefault="002B65A7" w:rsidP="002B65A7">
      <w:pPr>
        <w:rPr>
          <w:sz w:val="28"/>
          <w:szCs w:val="28"/>
        </w:rPr>
      </w:pPr>
    </w:p>
    <w:p w:rsidR="008420CC" w:rsidRDefault="008420CC"/>
    <w:sectPr w:rsidR="0084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A8"/>
    <w:rsid w:val="002B65A7"/>
    <w:rsid w:val="003546A8"/>
    <w:rsid w:val="0084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46C8B-47A2-4E79-A677-9C2FC0F2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2019-06-20T11:59:00Z</dcterms:created>
  <dcterms:modified xsi:type="dcterms:W3CDTF">2019-06-20T11:59:00Z</dcterms:modified>
</cp:coreProperties>
</file>